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AAE19" w14:textId="77777777" w:rsidR="00ED77F4" w:rsidRPr="00ED77F4" w:rsidRDefault="00ED77F4" w:rsidP="00ED77F4">
      <w:pPr>
        <w:spacing w:after="0" w:line="240" w:lineRule="auto"/>
        <w:jc w:val="center"/>
        <w:rPr>
          <w:rFonts w:ascii="Arial" w:eastAsia="Times New Roman" w:hAnsi="Arial" w:cs="Arial"/>
          <w:b/>
          <w:bCs/>
          <w:kern w:val="0"/>
          <w:sz w:val="24"/>
          <w:szCs w:val="24"/>
          <w:lang w:eastAsia="lv-LV"/>
          <w14:ligatures w14:val="none"/>
        </w:rPr>
      </w:pPr>
      <w:r w:rsidRPr="00ED77F4">
        <w:rPr>
          <w:rFonts w:ascii="Arial" w:eastAsia="Times New Roman" w:hAnsi="Arial" w:cs="Arial"/>
          <w:b/>
          <w:bCs/>
          <w:kern w:val="0"/>
          <w:sz w:val="24"/>
          <w:szCs w:val="24"/>
          <w:lang w:eastAsia="lv-LV"/>
          <w14:ligatures w14:val="none"/>
        </w:rPr>
        <w:t>Paskaidrojuma raksts</w:t>
      </w:r>
    </w:p>
    <w:p w14:paraId="4E25B0B9" w14:textId="77777777" w:rsidR="00ED77F4" w:rsidRPr="00ED77F4" w:rsidRDefault="00ED77F4" w:rsidP="00ED77F4">
      <w:pPr>
        <w:spacing w:after="0" w:line="240" w:lineRule="auto"/>
        <w:jc w:val="center"/>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br/>
      </w: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pašvaldības domes saistošajiem noteikumiem </w:t>
      </w:r>
    </w:p>
    <w:p w14:paraId="16F99987" w14:textId="77777777" w:rsidR="00ED77F4" w:rsidRPr="00ED77F4" w:rsidRDefault="00ED77F4" w:rsidP="00ED77F4">
      <w:pPr>
        <w:spacing w:after="0" w:line="240" w:lineRule="auto"/>
        <w:jc w:val="center"/>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Nr. ___ "Par pašvaldības palīdzību dzīvokļa jautājumu risināšanā"</w:t>
      </w:r>
    </w:p>
    <w:p w14:paraId="00838E3D" w14:textId="77777777" w:rsidR="00ED77F4" w:rsidRPr="00ED77F4" w:rsidRDefault="00ED77F4" w:rsidP="00ED77F4">
      <w:pPr>
        <w:spacing w:after="0" w:line="240" w:lineRule="auto"/>
        <w:jc w:val="center"/>
        <w:rPr>
          <w:rFonts w:ascii="Arial" w:eastAsia="Times New Roman" w:hAnsi="Arial" w:cs="Arial"/>
          <w:kern w:val="0"/>
          <w:sz w:val="24"/>
          <w:szCs w:val="24"/>
          <w:lang w:eastAsia="lv-LV"/>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4"/>
        <w:gridCol w:w="6605"/>
      </w:tblGrid>
      <w:tr w:rsidR="00ED77F4" w:rsidRPr="00ED77F4" w14:paraId="11BE8DA9"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51F4647E" w14:textId="77777777" w:rsidR="00ED77F4" w:rsidRPr="00ED77F4" w:rsidRDefault="00ED77F4" w:rsidP="00ED77F4">
            <w:pPr>
              <w:spacing w:before="100" w:beforeAutospacing="1" w:after="100" w:afterAutospacing="1" w:line="240" w:lineRule="auto"/>
              <w:jc w:val="center"/>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Paskaidrojuma raksta sadaļas</w:t>
            </w:r>
          </w:p>
        </w:tc>
        <w:tc>
          <w:tcPr>
            <w:tcW w:w="3492" w:type="pct"/>
            <w:tcBorders>
              <w:top w:val="outset" w:sz="6" w:space="0" w:color="auto"/>
              <w:left w:val="outset" w:sz="6" w:space="0" w:color="auto"/>
              <w:bottom w:val="outset" w:sz="6" w:space="0" w:color="auto"/>
              <w:right w:val="outset" w:sz="6" w:space="0" w:color="auto"/>
            </w:tcBorders>
            <w:vAlign w:val="center"/>
            <w:hideMark/>
          </w:tcPr>
          <w:p w14:paraId="27C027AB" w14:textId="77777777" w:rsidR="00ED77F4" w:rsidRPr="00ED77F4" w:rsidRDefault="00ED77F4" w:rsidP="00ED77F4">
            <w:pPr>
              <w:spacing w:before="100" w:beforeAutospacing="1" w:after="100" w:afterAutospacing="1" w:line="240" w:lineRule="auto"/>
              <w:jc w:val="center"/>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Norādāmā informācija</w:t>
            </w:r>
          </w:p>
        </w:tc>
      </w:tr>
      <w:tr w:rsidR="00ED77F4" w:rsidRPr="00ED77F4" w14:paraId="6CFAECB6"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564D4B42"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Mērķis un nepieciešamības pamatojums</w:t>
            </w:r>
          </w:p>
        </w:tc>
        <w:tc>
          <w:tcPr>
            <w:tcW w:w="3492" w:type="pct"/>
            <w:tcBorders>
              <w:top w:val="outset" w:sz="6" w:space="0" w:color="auto"/>
              <w:left w:val="outset" w:sz="6" w:space="0" w:color="auto"/>
              <w:bottom w:val="outset" w:sz="6" w:space="0" w:color="auto"/>
              <w:right w:val="outset" w:sz="6" w:space="0" w:color="auto"/>
            </w:tcBorders>
            <w:hideMark/>
          </w:tcPr>
          <w:p w14:paraId="6E4D0C06"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Saistošo noteikumu projekta (turpmāk – Saistošie noteikumi) mērķis ir noteikt kārtību, kā personas, kuras ir tiesīgas saņemt </w:t>
            </w: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pašvaldības (turpmāk – Pašvaldība) palīdzību dzīvokļa jautājumu risināšanā (turpmāk – Palīdzība) reģistrējamas pašvaldības palīdzības reģistrā un izslēdzamas no tā. Tāpat šo noteikumu mērķis ir noteikt palīdzības sniegšanas kārtību, nosacījumus un termiņu, uz kādu slēdzams dzīvojamās telpas īres līgums, kā arī pašvaldības institūcijas, kuras reģistrē personas un sniedz likuma "Par palīdzību dzīvokļa jautājumu risināšanā" 3. panta 1., 3. un 4. punktā noteiktos palīdzības veidus.</w:t>
            </w:r>
          </w:p>
          <w:p w14:paraId="1CD33559"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6DB251D9"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Šobrīd spēkā esošie </w:t>
            </w: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pašvaldības domes 2021.gada 30.decembra saistošie noteikumi </w:t>
            </w:r>
            <w:hyperlink r:id="rId5" w:history="1">
              <w:r w:rsidRPr="00ED77F4">
                <w:rPr>
                  <w:rFonts w:ascii="Arial" w:eastAsia="Times New Roman" w:hAnsi="Arial" w:cs="Arial"/>
                  <w:color w:val="0000FF"/>
                  <w:kern w:val="0"/>
                  <w:sz w:val="24"/>
                  <w:szCs w:val="24"/>
                  <w:u w:val="single"/>
                  <w:lang w:eastAsia="lv-LV"/>
                  <w14:ligatures w14:val="none"/>
                </w:rPr>
                <w:t xml:space="preserve">Nr. 17 "Par pašvaldības palīdzību dzīvokļa jautājumu risināšanā </w:t>
              </w:r>
              <w:proofErr w:type="spellStart"/>
              <w:r w:rsidRPr="00ED77F4">
                <w:rPr>
                  <w:rFonts w:ascii="Arial" w:eastAsia="Times New Roman" w:hAnsi="Arial" w:cs="Arial"/>
                  <w:color w:val="0000FF"/>
                  <w:kern w:val="0"/>
                  <w:sz w:val="24"/>
                  <w:szCs w:val="24"/>
                  <w:u w:val="single"/>
                  <w:lang w:eastAsia="lv-LV"/>
                  <w14:ligatures w14:val="none"/>
                </w:rPr>
                <w:t>Dienvidkurzemes</w:t>
              </w:r>
              <w:proofErr w:type="spellEnd"/>
              <w:r w:rsidRPr="00ED77F4">
                <w:rPr>
                  <w:rFonts w:ascii="Arial" w:eastAsia="Times New Roman" w:hAnsi="Arial" w:cs="Arial"/>
                  <w:color w:val="0000FF"/>
                  <w:kern w:val="0"/>
                  <w:sz w:val="24"/>
                  <w:szCs w:val="24"/>
                  <w:u w:val="single"/>
                  <w:lang w:eastAsia="lv-LV"/>
                  <w14:ligatures w14:val="none"/>
                </w:rPr>
                <w:t xml:space="preserve"> novadā"</w:t>
              </w:r>
            </w:hyperlink>
            <w:r w:rsidRPr="00ED77F4">
              <w:rPr>
                <w:rFonts w:ascii="Arial" w:eastAsia="Times New Roman" w:hAnsi="Arial" w:cs="Arial"/>
                <w:kern w:val="0"/>
                <w:sz w:val="24"/>
                <w:szCs w:val="24"/>
                <w:lang w:eastAsia="lv-LV"/>
                <w14:ligatures w14:val="none"/>
              </w:rPr>
              <w:t xml:space="preserve"> tiek  aizstāti ar jauniem, ņemot vērā grozījumus likumā </w:t>
            </w:r>
            <w:hyperlink r:id="rId6" w:history="1">
              <w:r w:rsidRPr="00ED77F4">
                <w:rPr>
                  <w:rFonts w:ascii="Arial" w:eastAsia="Times New Roman" w:hAnsi="Arial" w:cs="Arial"/>
                  <w:color w:val="0000FF"/>
                  <w:kern w:val="0"/>
                  <w:sz w:val="24"/>
                  <w:szCs w:val="24"/>
                  <w:u w:val="single"/>
                  <w:lang w:eastAsia="lv-LV"/>
                  <w14:ligatures w14:val="none"/>
                </w:rPr>
                <w:t>"Par palīdzību dzīvokļa jautājumu risināšanā"</w:t>
              </w:r>
            </w:hyperlink>
            <w:r w:rsidRPr="00ED77F4">
              <w:rPr>
                <w:rFonts w:ascii="Calibri" w:eastAsia="Calibri" w:hAnsi="Calibri" w:cs="Arial"/>
                <w:kern w:val="0"/>
                <w14:ligatures w14:val="none"/>
              </w:rPr>
              <w:t>,</w:t>
            </w:r>
            <w:r w:rsidRPr="00ED77F4">
              <w:rPr>
                <w:rFonts w:ascii="Arial" w:eastAsia="Times New Roman" w:hAnsi="Arial" w:cs="Arial"/>
                <w:kern w:val="0"/>
                <w:sz w:val="24"/>
                <w:szCs w:val="24"/>
                <w:lang w:eastAsia="lv-LV"/>
                <w14:ligatures w14:val="none"/>
              </w:rPr>
              <w:t xml:space="preserve"> ņemot vērā nepieciešamo izmaiņu apjomu, saskaņā ar Ministru kabineta 2009. gada 3. februāra noteikumiem Nr. 108 </w:t>
            </w:r>
            <w:hyperlink r:id="rId7" w:anchor="p140" w:history="1">
              <w:r w:rsidRPr="00ED77F4">
                <w:rPr>
                  <w:rFonts w:ascii="Arial" w:eastAsia="Times New Roman" w:hAnsi="Arial" w:cs="Arial"/>
                  <w:color w:val="0000FF"/>
                  <w:kern w:val="0"/>
                  <w:sz w:val="24"/>
                  <w:szCs w:val="24"/>
                  <w:u w:val="single"/>
                  <w:lang w:eastAsia="lv-LV"/>
                  <w14:ligatures w14:val="none"/>
                </w:rPr>
                <w:t>"Normatīvo aktu projektu sagatavošanas noteikumi" 140. punktā</w:t>
              </w:r>
            </w:hyperlink>
            <w:r w:rsidRPr="00ED77F4">
              <w:rPr>
                <w:rFonts w:ascii="Arial" w:eastAsia="Times New Roman" w:hAnsi="Arial" w:cs="Arial"/>
                <w:kern w:val="0"/>
                <w:sz w:val="24"/>
                <w:szCs w:val="24"/>
                <w:lang w:eastAsia="lv-LV"/>
                <w14:ligatures w14:val="none"/>
              </w:rPr>
              <w:t xml:space="preserve"> noteikto un </w:t>
            </w:r>
            <w:hyperlink r:id="rId8" w:anchor="p-1148922" w:history="1">
              <w:r w:rsidRPr="00ED77F4">
                <w:rPr>
                  <w:rFonts w:ascii="Arial" w:eastAsia="Times New Roman" w:hAnsi="Arial" w:cs="Arial"/>
                  <w:color w:val="0000FF"/>
                  <w:kern w:val="0"/>
                  <w:sz w:val="24"/>
                  <w:szCs w:val="24"/>
                  <w:u w:val="single"/>
                  <w:lang w:eastAsia="lv-LV"/>
                  <w14:ligatures w14:val="none"/>
                </w:rPr>
                <w:t>Pašvaldību likuma pārejas noteikumu 6. punktā</w:t>
              </w:r>
            </w:hyperlink>
            <w:r w:rsidRPr="00ED77F4">
              <w:rPr>
                <w:rFonts w:ascii="Arial" w:eastAsia="Times New Roman" w:hAnsi="Arial" w:cs="Arial"/>
                <w:kern w:val="0"/>
                <w:sz w:val="24"/>
                <w:szCs w:val="24"/>
                <w:lang w:eastAsia="lv-LV"/>
                <w14:ligatures w14:val="none"/>
              </w:rPr>
              <w:t xml:space="preserve"> noteikto, ka saistošos noteikumus, kuri izdoti uz likuma “Par pašvaldībām” normu pamata turpina piemērot līdz jaunu saistošo noteikumu spēkā stāšanās dienai, bet ne ilgāk kā līdz 2024. gada 30. jūnijam.</w:t>
            </w:r>
          </w:p>
        </w:tc>
      </w:tr>
      <w:tr w:rsidR="00ED77F4" w:rsidRPr="00ED77F4" w14:paraId="036E9F54"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7157FE1F"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Informācija par plānoto projekta ietekmi uz pašvaldības budžetu</w:t>
            </w:r>
          </w:p>
        </w:tc>
        <w:tc>
          <w:tcPr>
            <w:tcW w:w="3492" w:type="pct"/>
            <w:tcBorders>
              <w:top w:val="outset" w:sz="6" w:space="0" w:color="auto"/>
              <w:left w:val="outset" w:sz="6" w:space="0" w:color="auto"/>
              <w:bottom w:val="outset" w:sz="6" w:space="0" w:color="auto"/>
              <w:right w:val="outset" w:sz="6" w:space="0" w:color="auto"/>
            </w:tcBorders>
            <w:hideMark/>
          </w:tcPr>
          <w:p w14:paraId="57BCDCC7" w14:textId="77777777" w:rsidR="00ED77F4" w:rsidRPr="00ED77F4" w:rsidRDefault="00ED77F4" w:rsidP="00ED77F4">
            <w:pPr>
              <w:spacing w:after="0" w:line="240" w:lineRule="auto"/>
              <w:jc w:val="both"/>
              <w:rPr>
                <w:rFonts w:ascii="Arial" w:eastAsia="Times New Roman" w:hAnsi="Arial" w:cs="Arial"/>
                <w:kern w:val="0"/>
                <w:sz w:val="24"/>
                <w:szCs w:val="24"/>
                <w:highlight w:val="yellow"/>
                <w:lang w:eastAsia="lv-LV"/>
                <w14:ligatures w14:val="none"/>
              </w:rPr>
            </w:pPr>
            <w:r w:rsidRPr="00ED77F4">
              <w:rPr>
                <w:rFonts w:ascii="Arial" w:eastAsia="Times New Roman" w:hAnsi="Arial" w:cs="Arial"/>
                <w:kern w:val="0"/>
                <w:sz w:val="24"/>
                <w:szCs w:val="24"/>
                <w:lang w:eastAsia="lv-LV"/>
                <w14:ligatures w14:val="none"/>
              </w:rPr>
              <w:t xml:space="preserve">Saistošajiem noteikumiem nav ietekme uz pašvaldības budžetu. </w:t>
            </w:r>
          </w:p>
        </w:tc>
      </w:tr>
      <w:tr w:rsidR="00ED77F4" w:rsidRPr="00ED77F4" w14:paraId="6BD5FEE3"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45E3159C"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Sociālā ietekme, ietekme uz vidi, iedzīvotāju veselību, uzņēmējdarbības vidi pašvaldības teritorijā, kā arī plānotā regulējuma ietekme uz konkurenci</w:t>
            </w:r>
          </w:p>
        </w:tc>
        <w:tc>
          <w:tcPr>
            <w:tcW w:w="3492" w:type="pct"/>
            <w:tcBorders>
              <w:top w:val="outset" w:sz="6" w:space="0" w:color="auto"/>
              <w:left w:val="outset" w:sz="6" w:space="0" w:color="auto"/>
              <w:bottom w:val="outset" w:sz="6" w:space="0" w:color="auto"/>
              <w:right w:val="outset" w:sz="6" w:space="0" w:color="auto"/>
            </w:tcBorders>
            <w:hideMark/>
          </w:tcPr>
          <w:p w14:paraId="33C0CF13"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Saistošie noteikumi veicinās mājokļu pieejamību un radīs potenciāli pozitīvu ietekmi uz nabadzības un sociālās atstumtības riskam vairāk pakļauto iedzīvotāju grupām (pensionāri, personas ar invaliditāti, zemu ienākumu mājsaimniecības, t.sk. ģimenes ar bērniem).</w:t>
            </w:r>
          </w:p>
          <w:p w14:paraId="06D4D7BC"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2E64F3E1"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Saistošajiem noteikumiem nav ietekmes uz vidi.</w:t>
            </w:r>
          </w:p>
          <w:p w14:paraId="71ECDB7F"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26AD9265"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Saistošajiem noteikumiem nav tiešas ietekmes uz iedzīvotāju veselību, uzņēmējdarbības vidi un konkurenci.</w:t>
            </w:r>
          </w:p>
        </w:tc>
      </w:tr>
      <w:tr w:rsidR="00ED77F4" w:rsidRPr="00ED77F4" w14:paraId="6243C87B"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0BA02E46"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lastRenderedPageBreak/>
              <w:t>Informācija par administratīvajām procedūrām</w:t>
            </w:r>
          </w:p>
        </w:tc>
        <w:tc>
          <w:tcPr>
            <w:tcW w:w="3492" w:type="pct"/>
            <w:tcBorders>
              <w:top w:val="outset" w:sz="6" w:space="0" w:color="auto"/>
              <w:left w:val="outset" w:sz="6" w:space="0" w:color="auto"/>
              <w:bottom w:val="outset" w:sz="6" w:space="0" w:color="auto"/>
              <w:right w:val="outset" w:sz="6" w:space="0" w:color="auto"/>
            </w:tcBorders>
            <w:hideMark/>
          </w:tcPr>
          <w:p w14:paraId="1B1BE4CF"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Atbildīgās institūcijas par šo noteikumu administratīvajām procedūrām – </w:t>
            </w: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pašvaldības Dzīvokļu komisija, Nekustamo īpašumu daļa un </w:t>
            </w:r>
            <w:r w:rsidRPr="00ED77F4">
              <w:rPr>
                <w:rFonts w:ascii="Arial" w:eastAsia="Calibri" w:hAnsi="Arial" w:cs="Arial"/>
                <w:sz w:val="24"/>
                <w:szCs w:val="24"/>
              </w:rPr>
              <w:t>Pašvaldības kapitālsabiedrības, kas pilnvarotas nodrošināt nekustamo īpašumu pārvaldīšanu un apsaimniekošanu</w:t>
            </w:r>
            <w:r w:rsidRPr="00ED77F4">
              <w:rPr>
                <w:rFonts w:ascii="Arial" w:eastAsia="Times New Roman" w:hAnsi="Arial" w:cs="Arial"/>
                <w:kern w:val="0"/>
                <w:sz w:val="24"/>
                <w:szCs w:val="24"/>
                <w:lang w:eastAsia="lv-LV"/>
                <w14:ligatures w14:val="none"/>
              </w:rPr>
              <w:t>.</w:t>
            </w:r>
          </w:p>
          <w:p w14:paraId="1825A794"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779A8C17"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Personām, kuras vēlēsies īrēt pašvaldības mājokli, jāiesniedz saistošajos noteikumos norādītie dokumenti un jāatbilst likumā </w:t>
            </w:r>
            <w:hyperlink r:id="rId9" w:history="1">
              <w:r w:rsidRPr="00ED77F4">
                <w:rPr>
                  <w:rFonts w:ascii="Arial" w:eastAsia="Times New Roman" w:hAnsi="Arial" w:cs="Arial"/>
                  <w:color w:val="0000FF"/>
                  <w:kern w:val="0"/>
                  <w:sz w:val="24"/>
                  <w:szCs w:val="24"/>
                  <w:u w:val="single"/>
                  <w:lang w:eastAsia="lv-LV"/>
                  <w14:ligatures w14:val="none"/>
                </w:rPr>
                <w:t>"Par palīdzību dzīvokļa jautājumu risināšanā"</w:t>
              </w:r>
            </w:hyperlink>
            <w:r w:rsidRPr="00ED77F4">
              <w:rPr>
                <w:rFonts w:ascii="Arial" w:eastAsia="Times New Roman" w:hAnsi="Arial" w:cs="Arial"/>
                <w:kern w:val="0"/>
                <w:sz w:val="24"/>
                <w:szCs w:val="24"/>
                <w:lang w:eastAsia="lv-LV"/>
                <w14:ligatures w14:val="none"/>
              </w:rPr>
              <w:t xml:space="preserve"> un saistošajos noteikumos paredzētajiem kritērijiem.</w:t>
            </w:r>
          </w:p>
          <w:p w14:paraId="7EFD3873"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536B9BC5"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Nav paredzamas papildu administratīvo procedūru izmaksas.</w:t>
            </w:r>
          </w:p>
        </w:tc>
      </w:tr>
      <w:tr w:rsidR="00ED77F4" w:rsidRPr="00ED77F4" w14:paraId="67CBBEBA"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14:paraId="5D6EF072"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Ietekme uz pašvaldības funkcijām un cilvēkresursiem</w:t>
            </w:r>
          </w:p>
        </w:tc>
        <w:tc>
          <w:tcPr>
            <w:tcW w:w="3492" w:type="pct"/>
            <w:tcBorders>
              <w:top w:val="outset" w:sz="6" w:space="0" w:color="auto"/>
              <w:left w:val="outset" w:sz="6" w:space="0" w:color="auto"/>
              <w:bottom w:val="outset" w:sz="6" w:space="0" w:color="auto"/>
              <w:right w:val="outset" w:sz="6" w:space="0" w:color="auto"/>
            </w:tcBorders>
            <w:hideMark/>
          </w:tcPr>
          <w:p w14:paraId="040B367C"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Saistošie noteikumi ietekmē</w:t>
            </w:r>
            <w:r w:rsidRPr="00ED77F4">
              <w:rPr>
                <w:rFonts w:ascii="Calibri" w:eastAsia="Calibri" w:hAnsi="Calibri" w:cs="Arial"/>
                <w:kern w:val="0"/>
                <w14:ligatures w14:val="none"/>
              </w:rPr>
              <w:t xml:space="preserve"> </w:t>
            </w:r>
            <w:hyperlink r:id="rId10" w:anchor="p4" w:history="1">
              <w:r w:rsidRPr="00ED77F4">
                <w:rPr>
                  <w:rFonts w:ascii="Arial" w:eastAsia="Times New Roman" w:hAnsi="Arial" w:cs="Arial"/>
                  <w:color w:val="0000FF"/>
                  <w:kern w:val="0"/>
                  <w:sz w:val="24"/>
                  <w:szCs w:val="24"/>
                  <w:u w:val="single"/>
                  <w:lang w:eastAsia="lv-LV"/>
                  <w14:ligatures w14:val="none"/>
                </w:rPr>
                <w:t>Pašvaldību likuma 4. panta</w:t>
              </w:r>
            </w:hyperlink>
            <w:r w:rsidRPr="00ED77F4">
              <w:rPr>
                <w:rFonts w:ascii="Arial" w:eastAsia="Times New Roman" w:hAnsi="Arial" w:cs="Arial"/>
                <w:kern w:val="0"/>
                <w:sz w:val="24"/>
                <w:szCs w:val="24"/>
                <w:lang w:eastAsia="lv-LV"/>
                <w14:ligatures w14:val="none"/>
              </w:rPr>
              <w:t xml:space="preserve"> pirmās daļas 10. punktā noteiktās pašvaldības autonomās funkcijas – sniegt iedzīvotājiem palīdzību mājokļa jautājumu risināšanā, kā arī veicināt dzīvojamā fonda veidošanu, uzturēšanu un modernizēšanu.</w:t>
            </w:r>
          </w:p>
          <w:p w14:paraId="3D35EA32"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p>
          <w:p w14:paraId="58664E03" w14:textId="77777777" w:rsidR="00ED77F4" w:rsidRPr="00ED77F4" w:rsidRDefault="00ED77F4" w:rsidP="00ED77F4">
            <w:pPr>
              <w:jc w:val="both"/>
              <w:rPr>
                <w:rFonts w:ascii="Arial" w:eastAsia="Calibri" w:hAnsi="Arial" w:cs="Arial"/>
                <w:sz w:val="24"/>
                <w:szCs w:val="24"/>
              </w:rPr>
            </w:pPr>
            <w:r w:rsidRPr="00ED77F4">
              <w:rPr>
                <w:rFonts w:ascii="Arial" w:eastAsia="Calibri" w:hAnsi="Arial" w:cs="Arial"/>
                <w:sz w:val="24"/>
                <w:szCs w:val="24"/>
              </w:rPr>
              <w:t xml:space="preserve">Saistošie noteikumi tiks īstenoti esošo institūciju un cilvēkresursu ietvaros. </w:t>
            </w:r>
          </w:p>
        </w:tc>
      </w:tr>
      <w:tr w:rsidR="00ED77F4" w:rsidRPr="00ED77F4" w14:paraId="2E33957A"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tcPr>
          <w:p w14:paraId="0E60C628"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Informācija par izpildes nodrošināšanu</w:t>
            </w:r>
          </w:p>
        </w:tc>
        <w:tc>
          <w:tcPr>
            <w:tcW w:w="3492" w:type="pct"/>
            <w:tcBorders>
              <w:top w:val="outset" w:sz="6" w:space="0" w:color="auto"/>
              <w:left w:val="outset" w:sz="6" w:space="0" w:color="auto"/>
              <w:bottom w:val="outset" w:sz="6" w:space="0" w:color="auto"/>
              <w:right w:val="outset" w:sz="6" w:space="0" w:color="auto"/>
            </w:tcBorders>
          </w:tcPr>
          <w:p w14:paraId="319EA52E"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Saistošo noteikumu izpildē iesaistītās institūcijas – </w:t>
            </w: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Nekustamo īpašumu daļa, Dzīvokļu komisija un </w:t>
            </w:r>
            <w:r w:rsidRPr="00ED77F4">
              <w:rPr>
                <w:rFonts w:ascii="Arial" w:eastAsia="Calibri" w:hAnsi="Arial" w:cs="Arial"/>
                <w:sz w:val="24"/>
                <w:szCs w:val="24"/>
              </w:rPr>
              <w:t>Pašvaldības kapitālsabiedrības, kas pilnvarotas nodrošināt nekustamo īpašumu pārvaldīšanu un apsaimniekošanu</w:t>
            </w:r>
            <w:r w:rsidRPr="00ED77F4">
              <w:rPr>
                <w:rFonts w:ascii="Arial" w:eastAsia="Times New Roman" w:hAnsi="Arial" w:cs="Arial"/>
                <w:kern w:val="0"/>
                <w:sz w:val="24"/>
                <w:szCs w:val="24"/>
                <w:lang w:eastAsia="lv-LV"/>
                <w14:ligatures w14:val="none"/>
              </w:rPr>
              <w:t>.</w:t>
            </w:r>
          </w:p>
        </w:tc>
      </w:tr>
      <w:tr w:rsidR="00ED77F4" w:rsidRPr="00ED77F4" w14:paraId="6FCFCACA"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tcPr>
          <w:p w14:paraId="0BFA32E7"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Prasību un izmaksu samērīgums pret ieguvumiem, ko sniedz mērķa sasniegšana</w:t>
            </w:r>
          </w:p>
        </w:tc>
        <w:tc>
          <w:tcPr>
            <w:tcW w:w="3492" w:type="pct"/>
            <w:tcBorders>
              <w:top w:val="outset" w:sz="6" w:space="0" w:color="auto"/>
              <w:left w:val="outset" w:sz="6" w:space="0" w:color="auto"/>
              <w:bottom w:val="outset" w:sz="6" w:space="0" w:color="auto"/>
              <w:right w:val="outset" w:sz="6" w:space="0" w:color="auto"/>
            </w:tcBorders>
          </w:tcPr>
          <w:p w14:paraId="187F89A2"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Saistošie noteikumi ir piemēroti iecerētā mērķa sasniegšanas nodrošināšanai un paredz tikai to, kas ir vajadzīgs minētā mērķa sasniegšanai.</w:t>
            </w:r>
          </w:p>
        </w:tc>
      </w:tr>
      <w:tr w:rsidR="00ED77F4" w:rsidRPr="00ED77F4" w14:paraId="6D906722" w14:textId="77777777" w:rsidTr="00DD291A">
        <w:trPr>
          <w:tblCellSpacing w:w="15" w:type="dxa"/>
        </w:trPr>
        <w:tc>
          <w:tcPr>
            <w:tcW w:w="1458" w:type="pct"/>
            <w:tcBorders>
              <w:top w:val="outset" w:sz="6" w:space="0" w:color="auto"/>
              <w:left w:val="outset" w:sz="6" w:space="0" w:color="auto"/>
              <w:bottom w:val="outset" w:sz="6" w:space="0" w:color="auto"/>
              <w:right w:val="outset" w:sz="6" w:space="0" w:color="auto"/>
            </w:tcBorders>
          </w:tcPr>
          <w:p w14:paraId="11A39767" w14:textId="77777777" w:rsidR="00ED77F4" w:rsidRPr="00ED77F4" w:rsidRDefault="00ED77F4" w:rsidP="00ED77F4">
            <w:pPr>
              <w:numPr>
                <w:ilvl w:val="0"/>
                <w:numId w:val="1"/>
              </w:numPr>
              <w:spacing w:after="0" w:line="240" w:lineRule="auto"/>
              <w:ind w:left="342" w:hanging="284"/>
              <w:contextualSpacing/>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Izstrādes gaitā veiktās konsultācijas ar privātpersonām un institūcijām</w:t>
            </w:r>
          </w:p>
        </w:tc>
        <w:tc>
          <w:tcPr>
            <w:tcW w:w="3492" w:type="pct"/>
            <w:tcBorders>
              <w:top w:val="outset" w:sz="6" w:space="0" w:color="auto"/>
              <w:left w:val="outset" w:sz="6" w:space="0" w:color="auto"/>
              <w:bottom w:val="outset" w:sz="6" w:space="0" w:color="auto"/>
              <w:right w:val="outset" w:sz="6" w:space="0" w:color="auto"/>
            </w:tcBorders>
          </w:tcPr>
          <w:p w14:paraId="4BF4132C" w14:textId="77777777" w:rsidR="00ED77F4" w:rsidRPr="00ED77F4" w:rsidRDefault="00ED77F4" w:rsidP="00ED77F4">
            <w:pPr>
              <w:spacing w:after="0" w:line="240" w:lineRule="auto"/>
              <w:jc w:val="both"/>
              <w:rPr>
                <w:rFonts w:ascii="Arial" w:eastAsia="Times New Roman" w:hAnsi="Arial" w:cs="Arial"/>
                <w:kern w:val="0"/>
                <w:sz w:val="24"/>
                <w:szCs w:val="24"/>
                <w:lang w:eastAsia="lv-LV"/>
                <w14:ligatures w14:val="none"/>
              </w:rPr>
            </w:pPr>
            <w:r w:rsidRPr="00ED77F4">
              <w:rPr>
                <w:rFonts w:ascii="Arial" w:eastAsia="Times New Roman" w:hAnsi="Arial" w:cs="Arial"/>
                <w:kern w:val="0"/>
                <w:sz w:val="24"/>
                <w:szCs w:val="24"/>
                <w:lang w:eastAsia="lv-LV"/>
                <w14:ligatures w14:val="none"/>
              </w:rPr>
              <w:t xml:space="preserve">Atbilstoši </w:t>
            </w:r>
            <w:hyperlink r:id="rId11" w:anchor="p46" w:history="1">
              <w:r w:rsidRPr="00ED77F4">
                <w:rPr>
                  <w:rFonts w:ascii="Arial" w:eastAsia="Times New Roman" w:hAnsi="Arial" w:cs="Arial"/>
                  <w:color w:val="0000FF"/>
                  <w:kern w:val="0"/>
                  <w:sz w:val="24"/>
                  <w:szCs w:val="24"/>
                  <w:u w:val="single"/>
                  <w:lang w:eastAsia="lv-LV"/>
                  <w14:ligatures w14:val="none"/>
                </w:rPr>
                <w:t>Pašvaldību likuma 46. panta</w:t>
              </w:r>
            </w:hyperlink>
            <w:r w:rsidRPr="00ED77F4">
              <w:rPr>
                <w:rFonts w:ascii="Arial" w:eastAsia="Times New Roman" w:hAnsi="Arial" w:cs="Arial"/>
                <w:kern w:val="0"/>
                <w:sz w:val="24"/>
                <w:szCs w:val="24"/>
                <w:lang w:eastAsia="lv-LV"/>
                <w14:ligatures w14:val="none"/>
              </w:rPr>
              <w:t xml:space="preserve"> trešajā daļā noteiktajam, laika posmā no </w:t>
            </w:r>
            <w:r w:rsidRPr="00ED77F4">
              <w:rPr>
                <w:rFonts w:ascii="Arial" w:eastAsia="Times New Roman" w:hAnsi="Arial" w:cs="Arial"/>
                <w:kern w:val="0"/>
                <w:sz w:val="24"/>
                <w:szCs w:val="24"/>
                <w:highlight w:val="yellow"/>
                <w:lang w:eastAsia="lv-LV"/>
                <w14:ligatures w14:val="none"/>
              </w:rPr>
              <w:t>________</w:t>
            </w:r>
            <w:r w:rsidRPr="00ED77F4">
              <w:rPr>
                <w:rFonts w:ascii="Arial" w:eastAsia="Times New Roman" w:hAnsi="Arial" w:cs="Arial"/>
                <w:kern w:val="0"/>
                <w:sz w:val="24"/>
                <w:szCs w:val="24"/>
                <w:lang w:eastAsia="lv-LV"/>
                <w14:ligatures w14:val="none"/>
              </w:rPr>
              <w:t xml:space="preserve"> līdz </w:t>
            </w:r>
            <w:r w:rsidRPr="00ED77F4">
              <w:rPr>
                <w:rFonts w:ascii="Arial" w:eastAsia="Times New Roman" w:hAnsi="Arial" w:cs="Arial"/>
                <w:kern w:val="0"/>
                <w:sz w:val="24"/>
                <w:szCs w:val="24"/>
                <w:highlight w:val="yellow"/>
                <w:lang w:eastAsia="lv-LV"/>
                <w14:ligatures w14:val="none"/>
              </w:rPr>
              <w:t>________</w:t>
            </w:r>
            <w:r w:rsidRPr="00ED77F4">
              <w:rPr>
                <w:rFonts w:ascii="Arial" w:eastAsia="Times New Roman" w:hAnsi="Arial" w:cs="Arial"/>
                <w:kern w:val="0"/>
                <w:sz w:val="24"/>
                <w:szCs w:val="24"/>
                <w:lang w:eastAsia="lv-LV"/>
                <w14:ligatures w14:val="none"/>
              </w:rPr>
              <w:t xml:space="preserve"> sabiedrības viedokļa noskaidrošanai saistošo noteikumu projekts un paskaidrojuma raksts tika publicēts pašvaldības tīmekļvietnē </w:t>
            </w:r>
            <w:hyperlink r:id="rId12" w:history="1">
              <w:r w:rsidRPr="00ED77F4">
                <w:rPr>
                  <w:rFonts w:ascii="Arial" w:eastAsia="Times New Roman" w:hAnsi="Arial" w:cs="Arial"/>
                  <w:color w:val="0000FF"/>
                  <w:kern w:val="0"/>
                  <w:sz w:val="24"/>
                  <w:szCs w:val="24"/>
                  <w:u w:val="single"/>
                  <w:lang w:eastAsia="lv-LV"/>
                  <w14:ligatures w14:val="none"/>
                </w:rPr>
                <w:t>www.dkn.lv</w:t>
              </w:r>
            </w:hyperlink>
            <w:r w:rsidRPr="00ED77F4">
              <w:rPr>
                <w:rFonts w:ascii="Arial" w:eastAsia="Times New Roman" w:hAnsi="Arial" w:cs="Arial"/>
                <w:kern w:val="0"/>
                <w:sz w:val="24"/>
                <w:szCs w:val="24"/>
                <w:lang w:eastAsia="lv-LV"/>
                <w14:ligatures w14:val="none"/>
              </w:rPr>
              <w:t>. Noteiktā termiņa ietvaros priekšlikumi par saistošo noteikumu projekta redakciju nav saņemti.</w:t>
            </w:r>
          </w:p>
        </w:tc>
      </w:tr>
    </w:tbl>
    <w:p w14:paraId="57D16F9F" w14:textId="77777777" w:rsidR="00ED77F4" w:rsidRPr="00ED77F4" w:rsidRDefault="00ED77F4" w:rsidP="00ED77F4">
      <w:pPr>
        <w:spacing w:after="0" w:line="240" w:lineRule="auto"/>
        <w:jc w:val="right"/>
        <w:rPr>
          <w:rFonts w:ascii="Arial" w:eastAsia="Times New Roman" w:hAnsi="Arial" w:cs="Arial"/>
          <w:kern w:val="0"/>
          <w:sz w:val="24"/>
          <w:szCs w:val="24"/>
          <w:lang w:eastAsia="lv-LV"/>
          <w14:ligatures w14:val="none"/>
        </w:rPr>
      </w:pPr>
    </w:p>
    <w:p w14:paraId="18B412BC" w14:textId="77777777" w:rsidR="00ED77F4" w:rsidRPr="00ED77F4" w:rsidRDefault="00ED77F4" w:rsidP="00ED77F4">
      <w:pPr>
        <w:spacing w:after="0" w:line="240" w:lineRule="auto"/>
        <w:jc w:val="right"/>
        <w:rPr>
          <w:rFonts w:ascii="Arial" w:eastAsia="Times New Roman" w:hAnsi="Arial" w:cs="Arial"/>
          <w:kern w:val="0"/>
          <w:sz w:val="24"/>
          <w:szCs w:val="24"/>
          <w:lang w:eastAsia="lv-LV"/>
          <w14:ligatures w14:val="none"/>
        </w:rPr>
      </w:pPr>
      <w:proofErr w:type="spellStart"/>
      <w:r w:rsidRPr="00ED77F4">
        <w:rPr>
          <w:rFonts w:ascii="Arial" w:eastAsia="Times New Roman" w:hAnsi="Arial" w:cs="Arial"/>
          <w:kern w:val="0"/>
          <w:sz w:val="24"/>
          <w:szCs w:val="24"/>
          <w:lang w:eastAsia="lv-LV"/>
          <w14:ligatures w14:val="none"/>
        </w:rPr>
        <w:t>Dienvidkurzemes</w:t>
      </w:r>
      <w:proofErr w:type="spellEnd"/>
      <w:r w:rsidRPr="00ED77F4">
        <w:rPr>
          <w:rFonts w:ascii="Arial" w:eastAsia="Times New Roman" w:hAnsi="Arial" w:cs="Arial"/>
          <w:kern w:val="0"/>
          <w:sz w:val="24"/>
          <w:szCs w:val="24"/>
          <w:lang w:eastAsia="lv-LV"/>
          <w14:ligatures w14:val="none"/>
        </w:rPr>
        <w:t xml:space="preserve"> novada pašvaldības</w:t>
      </w:r>
      <w:r w:rsidRPr="00ED77F4">
        <w:rPr>
          <w:rFonts w:ascii="Arial" w:eastAsia="Times New Roman" w:hAnsi="Arial" w:cs="Arial"/>
          <w:kern w:val="0"/>
          <w:sz w:val="24"/>
          <w:szCs w:val="24"/>
          <w:lang w:eastAsia="lv-LV"/>
          <w14:ligatures w14:val="none"/>
        </w:rPr>
        <w:br/>
        <w:t xml:space="preserve">domes priekšsēdētājs </w:t>
      </w:r>
      <w:r w:rsidRPr="00ED77F4">
        <w:rPr>
          <w:rFonts w:ascii="Arial" w:eastAsia="Times New Roman" w:hAnsi="Arial" w:cs="Arial"/>
          <w:i/>
          <w:iCs/>
          <w:kern w:val="0"/>
          <w:sz w:val="24"/>
          <w:szCs w:val="24"/>
          <w:lang w:eastAsia="lv-LV"/>
          <w14:ligatures w14:val="none"/>
        </w:rPr>
        <w:t xml:space="preserve">A. </w:t>
      </w:r>
      <w:proofErr w:type="spellStart"/>
      <w:r w:rsidRPr="00ED77F4">
        <w:rPr>
          <w:rFonts w:ascii="Arial" w:eastAsia="Times New Roman" w:hAnsi="Arial" w:cs="Arial"/>
          <w:i/>
          <w:iCs/>
          <w:kern w:val="0"/>
          <w:sz w:val="24"/>
          <w:szCs w:val="24"/>
          <w:lang w:eastAsia="lv-LV"/>
          <w14:ligatures w14:val="none"/>
        </w:rPr>
        <w:t>Priedols</w:t>
      </w:r>
      <w:proofErr w:type="spellEnd"/>
    </w:p>
    <w:p w14:paraId="1121F489" w14:textId="77777777" w:rsidR="002245D3" w:rsidRDefault="002245D3"/>
    <w:sectPr w:rsidR="002245D3" w:rsidSect="00ED77F4">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B64E6"/>
    <w:multiLevelType w:val="hybridMultilevel"/>
    <w:tmpl w:val="D6D65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678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F4"/>
    <w:rsid w:val="002245D3"/>
    <w:rsid w:val="00AF53DA"/>
    <w:rsid w:val="00B63EF1"/>
    <w:rsid w:val="00ED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F696"/>
  <w15:chartTrackingRefBased/>
  <w15:docId w15:val="{BF3689FA-41F1-4B39-B2AE-3545192B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187822" TargetMode="External"/><Relationship Id="rId12"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11" Type="http://schemas.openxmlformats.org/officeDocument/2006/relationships/hyperlink" Target="https://likumi.lv/ta/id/336956" TargetMode="External"/><Relationship Id="rId5" Type="http://schemas.openxmlformats.org/officeDocument/2006/relationships/hyperlink" Target="https://likumi.lv/ta/id/330014" TargetMode="External"/><Relationship Id="rId10" Type="http://schemas.openxmlformats.org/officeDocument/2006/relationships/hyperlink" Target="https://likumi.lv/ta/id/336956" TargetMode="External"/><Relationship Id="rId4" Type="http://schemas.openxmlformats.org/officeDocument/2006/relationships/webSettings" Target="webSettings.xml"/><Relationship Id="rId9" Type="http://schemas.openxmlformats.org/officeDocument/2006/relationships/hyperlink" Target="https://likumi.lv/ta/id/568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2958</Words>
  <Characters>1687</Characters>
  <Application>Microsoft Office Word</Application>
  <DocSecurity>0</DocSecurity>
  <Lines>14</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Rungovska</dc:creator>
  <cp:keywords/>
  <dc:description/>
  <cp:lastModifiedBy>Linda Rungovska</cp:lastModifiedBy>
  <cp:revision>1</cp:revision>
  <dcterms:created xsi:type="dcterms:W3CDTF">2024-05-13T12:45:00Z</dcterms:created>
  <dcterms:modified xsi:type="dcterms:W3CDTF">2024-05-13T12:45:00Z</dcterms:modified>
</cp:coreProperties>
</file>